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D8" w:rsidRDefault="00451D74">
      <w:pPr>
        <w:jc w:val="center"/>
        <w:rPr>
          <w:b/>
        </w:rPr>
      </w:pPr>
      <w:r>
        <w:rPr>
          <w:b/>
        </w:rPr>
        <w:t>Family Letter</w:t>
      </w:r>
    </w:p>
    <w:p w:rsidR="007404D8" w:rsidRDefault="00451D74">
      <w:pPr>
        <w:jc w:val="center"/>
        <w:rPr>
          <w:b/>
        </w:rPr>
      </w:pPr>
      <w:r>
        <w:rPr>
          <w:b/>
        </w:rPr>
        <w:t xml:space="preserve">5th Grade </w:t>
      </w:r>
      <w:r w:rsidR="00110CA6">
        <w:rPr>
          <w:b/>
        </w:rPr>
        <w:t>Multiplication and Division</w:t>
      </w:r>
      <w:r>
        <w:rPr>
          <w:b/>
        </w:rPr>
        <w:t xml:space="preserve"> of Decimals </w:t>
      </w:r>
    </w:p>
    <w:p w:rsidR="007404D8" w:rsidRPr="00AB10D5" w:rsidRDefault="007404D8">
      <w:pPr>
        <w:rPr>
          <w:sz w:val="12"/>
        </w:rPr>
      </w:pPr>
    </w:p>
    <w:p w:rsidR="007404D8" w:rsidRDefault="00451D74">
      <w:r>
        <w:t>Dear Family,</w:t>
      </w:r>
    </w:p>
    <w:p w:rsidR="007404D8" w:rsidRPr="00AB10D5" w:rsidRDefault="007404D8">
      <w:pPr>
        <w:rPr>
          <w:sz w:val="10"/>
        </w:rPr>
      </w:pPr>
    </w:p>
    <w:p w:rsidR="007404D8" w:rsidRDefault="00451D74">
      <w:r>
        <w:t xml:space="preserve">During the week of &lt;date&gt; we will </w:t>
      </w:r>
      <w:r w:rsidR="0074177C">
        <w:t xml:space="preserve">begin </w:t>
      </w:r>
      <w:r>
        <w:t xml:space="preserve">a new math unit focused on the </w:t>
      </w:r>
      <w:r w:rsidR="006908AD">
        <w:t>multiplication and division</w:t>
      </w:r>
      <w:r>
        <w:t xml:space="preserve"> of decimals. Th</w:t>
      </w:r>
      <w:r w:rsidR="0074177C">
        <w:t>e purpose of this letter is to provide</w:t>
      </w:r>
      <w:r>
        <w:t xml:space="preserve"> some background information about our new unit.</w:t>
      </w:r>
    </w:p>
    <w:p w:rsidR="007404D8" w:rsidRPr="00AB10D5" w:rsidRDefault="007404D8">
      <w:pPr>
        <w:rPr>
          <w:sz w:val="12"/>
        </w:rPr>
      </w:pPr>
    </w:p>
    <w:p w:rsidR="007404D8" w:rsidRDefault="00451D74">
      <w:pPr>
        <w:rPr>
          <w:b/>
          <w:u w:val="single"/>
        </w:rPr>
      </w:pPr>
      <w:r>
        <w:rPr>
          <w:b/>
          <w:u w:val="single"/>
        </w:rPr>
        <w:t>Focus of the Unit</w:t>
      </w:r>
    </w:p>
    <w:p w:rsidR="007404D8" w:rsidRDefault="00451D74">
      <w:r>
        <w:t xml:space="preserve">This unit on </w:t>
      </w:r>
      <w:r w:rsidR="00890DD0">
        <w:t>multipli</w:t>
      </w:r>
      <w:r w:rsidR="00C27436">
        <w:t>cation and division of decimals</w:t>
      </w:r>
      <w:r w:rsidR="00890DD0">
        <w:t xml:space="preserve"> builds on </w:t>
      </w:r>
      <w:r w:rsidR="00725E3E">
        <w:t>students’ learning in</w:t>
      </w:r>
      <w:r w:rsidR="00C27436">
        <w:t xml:space="preserve"> previous grade levels. Studen</w:t>
      </w:r>
      <w:r w:rsidR="00725E3E">
        <w:t xml:space="preserve">ts will </w:t>
      </w:r>
      <w:r w:rsidR="004414ED">
        <w:t xml:space="preserve">apply their </w:t>
      </w:r>
      <w:r w:rsidR="00E216CE">
        <w:t xml:space="preserve">prior </w:t>
      </w:r>
      <w:r w:rsidR="004414ED">
        <w:t>knowledge of m</w:t>
      </w:r>
      <w:r w:rsidR="0074177C">
        <w:t>ultiplication of whole numbers to</w:t>
      </w:r>
      <w:r w:rsidR="004414ED">
        <w:t xml:space="preserve"> make connections </w:t>
      </w:r>
      <w:r w:rsidR="0074177C">
        <w:t>to multiplication</w:t>
      </w:r>
      <w:r w:rsidR="004414ED">
        <w:t xml:space="preserve"> decimals. </w:t>
      </w:r>
    </w:p>
    <w:p w:rsidR="007404D8" w:rsidRPr="00AB10D5" w:rsidRDefault="007404D8">
      <w:pPr>
        <w:rPr>
          <w:sz w:val="12"/>
        </w:rPr>
      </w:pPr>
    </w:p>
    <w:p w:rsidR="007404D8" w:rsidRDefault="00451D74">
      <w:r>
        <w:rPr>
          <w:b/>
          <w:u w:val="single"/>
        </w:rPr>
        <w:t>Building off Past Mathematics</w:t>
      </w:r>
      <w:r>
        <w:t xml:space="preserve"> </w:t>
      </w:r>
    </w:p>
    <w:p w:rsidR="00017D2F" w:rsidRDefault="00725E3E" w:rsidP="00A07C3C">
      <w:r>
        <w:t>In previous grade levels, students learned that multiplication is counting or combining equal</w:t>
      </w:r>
      <w:r w:rsidR="001E36C4">
        <w:t xml:space="preserve"> sized groups</w:t>
      </w:r>
      <w:r>
        <w:t xml:space="preserve">. Situations involving multiplication have a number of groups and a number of objects in each group. In previous grade levels, students learned that </w:t>
      </w:r>
      <w:r w:rsidR="001E36C4">
        <w:t xml:space="preserve">a </w:t>
      </w:r>
      <w:r>
        <w:t>multiplication equation should be read in this way</w:t>
      </w:r>
      <w:r w:rsidR="00A07C3C">
        <w:t xml:space="preserve">: </w:t>
      </w:r>
    </w:p>
    <w:p w:rsidR="00725E3E" w:rsidRDefault="00725E3E" w:rsidP="00725E3E"/>
    <w:p w:rsidR="00A07C3C" w:rsidRDefault="00A07C3C" w:rsidP="00A07C3C">
      <w:pPr>
        <w:jc w:val="center"/>
      </w:pPr>
      <w:r>
        <w:rPr>
          <w:noProof/>
          <w:lang w:val="en-US"/>
        </w:rPr>
        <w:drawing>
          <wp:inline distT="0" distB="0" distL="0" distR="0" wp14:anchorId="3D8E192A" wp14:editId="3773D9B8">
            <wp:extent cx="2977287" cy="1345409"/>
            <wp:effectExtent l="0" t="0" r="0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083" t="35499" r="25233" b="23764"/>
                    <a:stretch/>
                  </pic:blipFill>
                  <pic:spPr bwMode="auto">
                    <a:xfrm>
                      <a:off x="0" y="0"/>
                      <a:ext cx="2988703" cy="1350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A07C3C" w:rsidRPr="002631CC" w:rsidRDefault="00A07C3C" w:rsidP="00A07C3C">
      <w:pPr>
        <w:jc w:val="center"/>
        <w:rPr>
          <w:sz w:val="8"/>
        </w:rPr>
      </w:pPr>
    </w:p>
    <w:p w:rsidR="00A07C3C" w:rsidRDefault="00A07C3C" w:rsidP="00A07C3C">
      <w:r>
        <w:t>Students also learned that division is separating a number of objects into equal shares or groups. Situations involving division contain a total number of objects, the number of groups, and the number of objects in the groups.</w:t>
      </w:r>
    </w:p>
    <w:p w:rsidR="00A07C3C" w:rsidRDefault="00A07C3C" w:rsidP="002631CC">
      <w:pPr>
        <w:jc w:val="center"/>
      </w:pPr>
      <w:r>
        <w:rPr>
          <w:noProof/>
          <w:lang w:val="en-US"/>
        </w:rPr>
        <w:drawing>
          <wp:inline distT="0" distB="0" distL="0" distR="0" wp14:anchorId="34AEC2BE" wp14:editId="0D1DCBE6">
            <wp:extent cx="3840480" cy="2490673"/>
            <wp:effectExtent l="0" t="0" r="7620" b="508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827" t="25277" r="28172" b="19327"/>
                    <a:stretch/>
                  </pic:blipFill>
                  <pic:spPr bwMode="auto">
                    <a:xfrm>
                      <a:off x="0" y="0"/>
                      <a:ext cx="3916910" cy="254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EF6AC6" w:rsidRDefault="002631CC" w:rsidP="002631CC">
      <w:r>
        <w:t>Students use their understanding of multiplication and division to solve story problems about real-life situations. These story problems involve situations where the number of groups, number of objects</w:t>
      </w:r>
      <w:r w:rsidR="001E36C4">
        <w:t xml:space="preserve"> in a group, or total amount are</w:t>
      </w:r>
      <w:r>
        <w:t xml:space="preserve"> missing. It is important that students “act out” story problem situations, so they can clearly see what information is given and </w:t>
      </w:r>
      <w:r w:rsidR="001E36C4">
        <w:t xml:space="preserve">what is </w:t>
      </w:r>
      <w:r>
        <w:t>still needed.</w:t>
      </w:r>
    </w:p>
    <w:p w:rsidR="002631CC" w:rsidRPr="00EF6AC6" w:rsidRDefault="00451D74" w:rsidP="002631CC">
      <w:r>
        <w:rPr>
          <w:b/>
          <w:u w:val="single"/>
        </w:rPr>
        <w:lastRenderedPageBreak/>
        <w:t>Strategies that Students Will Learn</w:t>
      </w:r>
    </w:p>
    <w:p w:rsidR="002631CC" w:rsidRPr="00474C97" w:rsidRDefault="002631CC" w:rsidP="002631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C97">
        <w:rPr>
          <w:rFonts w:eastAsia="Times New Roman"/>
        </w:rPr>
        <w:t>In fifth grade, students use their previous understanding of multipl</w:t>
      </w:r>
      <w:r w:rsidR="001E36C4">
        <w:rPr>
          <w:rFonts w:eastAsia="Times New Roman"/>
        </w:rPr>
        <w:t>ication and division strategies</w:t>
      </w:r>
      <w:r w:rsidRPr="00474C97">
        <w:rPr>
          <w:rFonts w:eastAsia="Times New Roman"/>
        </w:rPr>
        <w:t xml:space="preserve"> and apply them to </w:t>
      </w:r>
      <w:r w:rsidR="00011120">
        <w:rPr>
          <w:rFonts w:eastAsia="Times New Roman"/>
        </w:rPr>
        <w:t>decimals</w:t>
      </w:r>
      <w:r w:rsidRPr="00474C97">
        <w:rPr>
          <w:rFonts w:eastAsia="Times New Roman"/>
        </w:rPr>
        <w:t>. Below are some specific strategies</w:t>
      </w:r>
      <w:r w:rsidR="001E36C4">
        <w:rPr>
          <w:rFonts w:eastAsia="Times New Roman"/>
        </w:rPr>
        <w:t xml:space="preserve"> and representations</w:t>
      </w:r>
      <w:r w:rsidRPr="00474C97">
        <w:rPr>
          <w:rFonts w:eastAsia="Times New Roman"/>
        </w:rPr>
        <w:t xml:space="preserve"> that students use as they solve multiplication </w:t>
      </w:r>
      <w:r w:rsidR="00CF77D3">
        <w:rPr>
          <w:rFonts w:eastAsia="Times New Roman"/>
        </w:rPr>
        <w:t xml:space="preserve">and division </w:t>
      </w:r>
      <w:r w:rsidRPr="00474C97">
        <w:rPr>
          <w:rFonts w:eastAsia="Times New Roman"/>
        </w:rPr>
        <w:t>situations:</w:t>
      </w:r>
    </w:p>
    <w:tbl>
      <w:tblPr>
        <w:tblW w:w="10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7470"/>
      </w:tblGrid>
      <w:tr w:rsidR="002631CC" w:rsidRPr="00D01F37" w:rsidTr="00BD7E8F">
        <w:trPr>
          <w:trHeight w:val="186"/>
        </w:trPr>
        <w:tc>
          <w:tcPr>
            <w:tcW w:w="10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31CC" w:rsidRPr="00D01F37" w:rsidRDefault="002631CC" w:rsidP="00207B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37">
              <w:rPr>
                <w:rFonts w:eastAsia="Times New Roman"/>
              </w:rPr>
              <w:t>Multiplication</w:t>
            </w:r>
          </w:p>
        </w:tc>
      </w:tr>
      <w:tr w:rsidR="003A23CA" w:rsidRPr="00D01F37" w:rsidTr="003A23CA">
        <w:trPr>
          <w:trHeight w:val="1203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3CA" w:rsidRPr="00D01F37" w:rsidRDefault="009B4A53" w:rsidP="00207BB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Number Line Model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3CA" w:rsidRPr="00D01F37" w:rsidRDefault="009B4A53" w:rsidP="003A23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722553" cy="1214120"/>
                  <wp:effectExtent l="0" t="0" r="0" b="508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0.4x0.1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7394" cy="122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1CC" w:rsidRPr="00D01F37" w:rsidTr="003A23CA">
        <w:trPr>
          <w:trHeight w:val="1203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31CC" w:rsidRPr="00D01F37" w:rsidRDefault="00CF77D3" w:rsidP="00207B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Use an area model</w:t>
            </w:r>
            <w:r w:rsidR="002631CC" w:rsidRPr="00D01F37">
              <w:rPr>
                <w:rFonts w:eastAsia="Times New Roman"/>
              </w:rPr>
              <w:t xml:space="preserve"> to break apart unknown facts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31CC" w:rsidRPr="00D01F37" w:rsidRDefault="000E7F9D" w:rsidP="003A23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26080" cy="1526650"/>
                  <wp:effectExtent l="0" t="0" r="762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0.25x6 are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61" cy="153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1CC" w:rsidRPr="00D01F37" w:rsidTr="003A23CA">
        <w:trPr>
          <w:trHeight w:val="1302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31CC" w:rsidRPr="00D01F37" w:rsidRDefault="00BD7E8F" w:rsidP="00207B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Break</w:t>
            </w:r>
            <w:r w:rsidR="002631CC" w:rsidRPr="00D01F37">
              <w:rPr>
                <w:rFonts w:eastAsia="Times New Roman"/>
              </w:rPr>
              <w:t xml:space="preserve"> apart numbers by their place value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E8F" w:rsidRDefault="00BD7E8F" w:rsidP="00BD7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 x 0.15</w:t>
            </w:r>
          </w:p>
          <w:p w:rsidR="00BD7E8F" w:rsidRDefault="00BD7E8F" w:rsidP="00BD7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2478075</wp:posOffset>
                      </wp:positionH>
                      <wp:positionV relativeFrom="paragraph">
                        <wp:posOffset>132639</wp:posOffset>
                      </wp:positionV>
                      <wp:extent cx="402336" cy="204825"/>
                      <wp:effectExtent l="38100" t="19050" r="93345" b="10033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336" cy="204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5356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5" o:spid="_x0000_s1026" type="#_x0000_t32" style="position:absolute;margin-left:195.1pt;margin-top:10.45pt;width:31.7pt;height:1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1702664</wp:posOffset>
                      </wp:positionH>
                      <wp:positionV relativeFrom="paragraph">
                        <wp:posOffset>147269</wp:posOffset>
                      </wp:positionV>
                      <wp:extent cx="336499" cy="212141"/>
                      <wp:effectExtent l="57150" t="19050" r="64135" b="9271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6499" cy="21214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73D169" id="Straight Arrow Connector 44" o:spid="_x0000_s1026" type="#_x0000_t32" style="position:absolute;margin-left:134.05pt;margin-top:11.6pt;width:26.5pt;height:16.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 x (0.10 + 0.05)</w:t>
            </w:r>
          </w:p>
          <w:p w:rsidR="00BD7E8F" w:rsidRDefault="00BD7E8F" w:rsidP="00BD7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E8F" w:rsidRDefault="00BD7E8F" w:rsidP="00BD7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2273249</wp:posOffset>
                      </wp:positionH>
                      <wp:positionV relativeFrom="paragraph">
                        <wp:posOffset>133248</wp:posOffset>
                      </wp:positionV>
                      <wp:extent cx="14631" cy="241402"/>
                      <wp:effectExtent l="76200" t="19050" r="80645" b="8255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1" cy="2414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2C1B79" id="Straight Arrow Connector 46" o:spid="_x0000_s1026" type="#_x0000_t32" style="position:absolute;margin-left:179pt;margin-top:10.5pt;width:1.15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 x 0.10 = </w:t>
            </w:r>
            <w:r w:rsidRPr="00715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0.04</w:t>
            </w:r>
            <w:r w:rsidRPr="007150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 x 0.05 = </w:t>
            </w:r>
            <w:r w:rsidRPr="00715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0.020</w:t>
            </w:r>
          </w:p>
          <w:p w:rsidR="00BD7E8F" w:rsidRDefault="00BD7E8F" w:rsidP="00BD7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E8F" w:rsidRPr="00BD7E8F" w:rsidRDefault="00BD7E8F" w:rsidP="003A23C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BD7E8F" w:rsidRPr="00D01F37" w:rsidRDefault="00BD7E8F" w:rsidP="00BD7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0.04</w:t>
            </w:r>
            <w:r w:rsidRPr="007150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15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0.020</w:t>
            </w:r>
            <w:r w:rsidRPr="007150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150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=  0.06</w:t>
            </w:r>
          </w:p>
        </w:tc>
      </w:tr>
    </w:tbl>
    <w:p w:rsidR="002631CC" w:rsidRPr="001E0D41" w:rsidRDefault="002631CC" w:rsidP="002631CC">
      <w:pPr>
        <w:spacing w:after="24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105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7454"/>
      </w:tblGrid>
      <w:tr w:rsidR="002631CC" w:rsidRPr="00D01F37" w:rsidTr="001E0D41">
        <w:trPr>
          <w:trHeight w:val="15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31CC" w:rsidRPr="00D01F37" w:rsidRDefault="002631CC" w:rsidP="00207B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37">
              <w:rPr>
                <w:rFonts w:eastAsia="Times New Roman"/>
              </w:rPr>
              <w:t>Division</w:t>
            </w:r>
          </w:p>
        </w:tc>
      </w:tr>
      <w:tr w:rsidR="002631CC" w:rsidRPr="00D01F37" w:rsidTr="001E0D41">
        <w:trPr>
          <w:trHeight w:val="856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31CC" w:rsidRPr="001E0D41" w:rsidRDefault="001E0D41" w:rsidP="00207BB6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E0D41">
              <w:rPr>
                <w:rFonts w:eastAsia="Times New Roman"/>
                <w:szCs w:val="24"/>
              </w:rPr>
              <w:t xml:space="preserve">Use an area model </w:t>
            </w:r>
            <w:r w:rsidR="000E7F9D">
              <w:rPr>
                <w:rFonts w:eastAsia="Times New Roman"/>
                <w:szCs w:val="24"/>
              </w:rPr>
              <w:t>to show partitioning of a quantity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31CC" w:rsidRPr="00D01F37" w:rsidRDefault="001E0D41" w:rsidP="001E0D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729901" cy="2172615"/>
                  <wp:effectExtent l="0" t="0" r="444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iv area mode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768" cy="222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D41" w:rsidRPr="00D01F37" w:rsidTr="001E0D41">
        <w:trPr>
          <w:trHeight w:val="856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41" w:rsidRPr="001E0D41" w:rsidRDefault="000E7F9D" w:rsidP="00207BB6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Use a fair sharing model to find the number in each group or share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41" w:rsidRDefault="00AE5862" w:rsidP="001E0D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618842" cy="2493328"/>
                  <wp:effectExtent l="0" t="0" r="0" b="254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equal shar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521" cy="249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1CC" w:rsidRPr="0024235C" w:rsidRDefault="002631CC"/>
    <w:p w:rsidR="002631CC" w:rsidRPr="002631CC" w:rsidRDefault="002631CC" w:rsidP="002631CC">
      <w:pPr>
        <w:spacing w:line="240" w:lineRule="auto"/>
        <w:rPr>
          <w:rFonts w:ascii="Times New Roman" w:eastAsia="Times New Roman" w:hAnsi="Times New Roman" w:cs="Times New Roman"/>
        </w:rPr>
      </w:pPr>
      <w:r w:rsidRPr="002631CC">
        <w:rPr>
          <w:rFonts w:eastAsia="Times New Roman"/>
          <w:b/>
          <w:bCs/>
          <w:u w:val="single"/>
        </w:rPr>
        <w:t>Ideas for Home Support</w:t>
      </w:r>
    </w:p>
    <w:p w:rsidR="002631CC" w:rsidRPr="002631CC" w:rsidRDefault="002631CC" w:rsidP="002631CC">
      <w:pPr>
        <w:spacing w:line="240" w:lineRule="auto"/>
        <w:rPr>
          <w:rFonts w:ascii="Times New Roman" w:eastAsia="Times New Roman" w:hAnsi="Times New Roman" w:cs="Times New Roman"/>
        </w:rPr>
      </w:pPr>
      <w:r w:rsidRPr="002631CC">
        <w:rPr>
          <w:rFonts w:eastAsia="Times New Roman"/>
        </w:rPr>
        <w:t xml:space="preserve">As a family, </w:t>
      </w:r>
      <w:r w:rsidR="007D6BF6">
        <w:rPr>
          <w:rFonts w:eastAsia="Times New Roman"/>
        </w:rPr>
        <w:t xml:space="preserve">point out experiences when decimals are involved with your everyday life. These experiences might include totaling the grocery bill, doubling or halving a recipe, calculating the bill at a restaurant, determining mileage for a trip, </w:t>
      </w:r>
      <w:r w:rsidR="001E36C4">
        <w:rPr>
          <w:rFonts w:eastAsia="Times New Roman"/>
        </w:rPr>
        <w:t xml:space="preserve">buying gas for your vehicle, </w:t>
      </w:r>
      <w:r w:rsidR="007D6BF6">
        <w:rPr>
          <w:rFonts w:eastAsia="Times New Roman"/>
        </w:rPr>
        <w:t xml:space="preserve">and many others. This helps children </w:t>
      </w:r>
      <w:r w:rsidRPr="002631CC">
        <w:rPr>
          <w:rFonts w:eastAsia="Times New Roman"/>
        </w:rPr>
        <w:t>see and apply multiplication and division</w:t>
      </w:r>
      <w:r w:rsidR="007D6BF6">
        <w:rPr>
          <w:rFonts w:eastAsia="Times New Roman"/>
        </w:rPr>
        <w:t xml:space="preserve"> with decimals</w:t>
      </w:r>
      <w:r w:rsidRPr="002631CC">
        <w:rPr>
          <w:rFonts w:eastAsia="Times New Roman"/>
        </w:rPr>
        <w:t xml:space="preserve"> in a real-life context. </w:t>
      </w:r>
      <w:r w:rsidR="007D6BF6">
        <w:rPr>
          <w:rFonts w:eastAsia="Times New Roman"/>
        </w:rPr>
        <w:t xml:space="preserve">Discuss mental strategies and estimations before </w:t>
      </w:r>
      <w:r w:rsidR="004414ED">
        <w:rPr>
          <w:rFonts w:eastAsia="Times New Roman"/>
        </w:rPr>
        <w:t>solving</w:t>
      </w:r>
      <w:r w:rsidR="001E36C4">
        <w:rPr>
          <w:rFonts w:eastAsia="Times New Roman"/>
        </w:rPr>
        <w:t xml:space="preserve"> to discover</w:t>
      </w:r>
      <w:r w:rsidR="004414ED">
        <w:rPr>
          <w:rFonts w:eastAsia="Times New Roman"/>
        </w:rPr>
        <w:t xml:space="preserve"> </w:t>
      </w:r>
      <w:r w:rsidR="007D6BF6">
        <w:rPr>
          <w:rFonts w:eastAsia="Times New Roman"/>
        </w:rPr>
        <w:t>how your child is making sense of the mathematical context. When solving, prompt your child to show their thinking with models, as shown above, to remind him/her of the value of each number in the situation</w:t>
      </w:r>
      <w:r w:rsidR="001E36C4">
        <w:rPr>
          <w:rFonts w:eastAsia="Times New Roman"/>
        </w:rPr>
        <w:t xml:space="preserve"> and the relationships between the numbers</w:t>
      </w:r>
      <w:r w:rsidR="007D6BF6">
        <w:rPr>
          <w:rFonts w:eastAsia="Times New Roman"/>
        </w:rPr>
        <w:t xml:space="preserve">. </w:t>
      </w:r>
      <w:bookmarkStart w:id="0" w:name="_GoBack"/>
      <w:bookmarkEnd w:id="0"/>
    </w:p>
    <w:p w:rsidR="007404D8" w:rsidRPr="00AB10D5" w:rsidRDefault="007404D8">
      <w:pPr>
        <w:rPr>
          <w:sz w:val="8"/>
        </w:rPr>
      </w:pPr>
    </w:p>
    <w:p w:rsidR="002631CC" w:rsidRDefault="002631CC">
      <w:pPr>
        <w:jc w:val="center"/>
        <w:rPr>
          <w:b/>
        </w:rPr>
      </w:pPr>
    </w:p>
    <w:p w:rsidR="007404D8" w:rsidRDefault="00451D74">
      <w:pPr>
        <w:jc w:val="center"/>
        <w:rPr>
          <w:b/>
        </w:rPr>
      </w:pPr>
      <w:r>
        <w:rPr>
          <w:b/>
        </w:rPr>
        <w:t>Thank you for serving as partners in your child’s success as a mathematician!</w:t>
      </w:r>
    </w:p>
    <w:p w:rsidR="007404D8" w:rsidRPr="0024235C" w:rsidRDefault="00451D74" w:rsidP="0024235C">
      <w:pPr>
        <w:jc w:val="center"/>
        <w:rPr>
          <w:b/>
        </w:rPr>
      </w:pPr>
      <w:r>
        <w:rPr>
          <w:b/>
        </w:rPr>
        <w:t xml:space="preserve">&lt;signature&gt; </w:t>
      </w:r>
    </w:p>
    <w:sectPr w:rsidR="007404D8" w:rsidRPr="0024235C">
      <w:pgSz w:w="12240" w:h="15840"/>
      <w:pgMar w:top="1440" w:right="720" w:bottom="1440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5D" w:rsidRDefault="007E2E5D">
      <w:pPr>
        <w:spacing w:line="240" w:lineRule="auto"/>
      </w:pPr>
      <w:r>
        <w:separator/>
      </w:r>
    </w:p>
  </w:endnote>
  <w:endnote w:type="continuationSeparator" w:id="0">
    <w:p w:rsidR="007E2E5D" w:rsidRDefault="007E2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5D" w:rsidRDefault="007E2E5D">
      <w:pPr>
        <w:spacing w:line="240" w:lineRule="auto"/>
      </w:pPr>
      <w:r>
        <w:separator/>
      </w:r>
    </w:p>
  </w:footnote>
  <w:footnote w:type="continuationSeparator" w:id="0">
    <w:p w:rsidR="007E2E5D" w:rsidRDefault="007E2E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D8"/>
    <w:rsid w:val="00011120"/>
    <w:rsid w:val="00017D2F"/>
    <w:rsid w:val="000E7F9D"/>
    <w:rsid w:val="00110CA6"/>
    <w:rsid w:val="00114203"/>
    <w:rsid w:val="00117030"/>
    <w:rsid w:val="00157C44"/>
    <w:rsid w:val="001E0D41"/>
    <w:rsid w:val="001E36C4"/>
    <w:rsid w:val="00220F23"/>
    <w:rsid w:val="0024235C"/>
    <w:rsid w:val="002631CC"/>
    <w:rsid w:val="003A23CA"/>
    <w:rsid w:val="003C2C5B"/>
    <w:rsid w:val="004414ED"/>
    <w:rsid w:val="00451D74"/>
    <w:rsid w:val="00474C97"/>
    <w:rsid w:val="006908AD"/>
    <w:rsid w:val="007018BA"/>
    <w:rsid w:val="00715055"/>
    <w:rsid w:val="00725E3E"/>
    <w:rsid w:val="007404D8"/>
    <w:rsid w:val="0074177C"/>
    <w:rsid w:val="007D6BF6"/>
    <w:rsid w:val="007E2E5D"/>
    <w:rsid w:val="008359CA"/>
    <w:rsid w:val="00887E15"/>
    <w:rsid w:val="00890DD0"/>
    <w:rsid w:val="009B4A53"/>
    <w:rsid w:val="00A07C3C"/>
    <w:rsid w:val="00AB10D5"/>
    <w:rsid w:val="00AE5862"/>
    <w:rsid w:val="00BD7E8F"/>
    <w:rsid w:val="00C27436"/>
    <w:rsid w:val="00CF77D3"/>
    <w:rsid w:val="00E216CE"/>
    <w:rsid w:val="00EF6AC6"/>
    <w:rsid w:val="00F2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EDF8D1F-58D4-4B4F-8049-A1367BAE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A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DC86C-EE63-41B3-99D4-02683983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Lonon, Rebekah E.</dc:creator>
  <cp:lastModifiedBy>Kayonna Pitchford</cp:lastModifiedBy>
  <cp:revision>3</cp:revision>
  <dcterms:created xsi:type="dcterms:W3CDTF">2018-03-04T15:40:00Z</dcterms:created>
  <dcterms:modified xsi:type="dcterms:W3CDTF">2018-03-30T14:42:00Z</dcterms:modified>
</cp:coreProperties>
</file>